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31" w:rsidRPr="00A63EA8" w:rsidRDefault="004F1542">
      <w:pPr>
        <w:rPr>
          <w:rFonts w:ascii="Times New Roman" w:hAnsi="Times New Roman" w:cs="Times New Roman"/>
          <w:color w:val="000000"/>
          <w:sz w:val="20"/>
          <w:szCs w:val="20"/>
        </w:rPr>
      </w:pPr>
      <w:r w:rsidRPr="00A63EA8">
        <w:rPr>
          <w:rFonts w:ascii="Times New Roman" w:hAnsi="Times New Roman" w:cs="Times New Roman"/>
          <w:b/>
          <w:bCs/>
          <w:color w:val="000000"/>
          <w:sz w:val="20"/>
          <w:szCs w:val="20"/>
        </w:rPr>
        <w:t>Health Effects</w:t>
      </w:r>
      <w:r w:rsidR="00A63EA8">
        <w:rPr>
          <w:rFonts w:ascii="Times New Roman" w:hAnsi="Times New Roman" w:cs="Times New Roman"/>
          <w:color w:val="000000"/>
          <w:sz w:val="20"/>
          <w:szCs w:val="20"/>
        </w:rPr>
        <w:t>:</w:t>
      </w:r>
      <w:r w:rsidRPr="00A63EA8">
        <w:rPr>
          <w:rFonts w:ascii="Times New Roman" w:hAnsi="Times New Roman" w:cs="Times New Roman"/>
          <w:color w:val="000000"/>
          <w:sz w:val="20"/>
          <w:szCs w:val="20"/>
        </w:rPr>
        <w:t xml:space="preserve"> Principal effect(s) of exposure to each substance, listed by OSHA Health Code and Health Effects. Health codes are used in determining if a violation of an air contaminant standard is serious or other-than- serious, based on guidelines in the Field Operations Manual, OSHA Instruction CPL 2.45B, chapter IV. All Health Codes and Health Effects are scheduled to be reviewed and updated under contract. For some chemicals, additional toxicology information has been added from other sources. Abbreviations for this information includes: SKIN IRR = Skin irritation; SKIN ABS = Skin Absorption; INGES ACUTE = Ingestion Acute; and INGES CHRONIC = Ingestion Chronic.</w:t>
      </w:r>
    </w:p>
    <w:tbl>
      <w:tblPr>
        <w:tblStyle w:val="TableGrid"/>
        <w:tblW w:w="0" w:type="auto"/>
        <w:tblLook w:val="04A0" w:firstRow="1" w:lastRow="0" w:firstColumn="1" w:lastColumn="0" w:noHBand="0" w:noVBand="1"/>
      </w:tblPr>
      <w:tblGrid>
        <w:gridCol w:w="730"/>
        <w:gridCol w:w="8620"/>
      </w:tblGrid>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Code</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rPr>
              <w:t>Health Effects</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p>
        </w:tc>
        <w:tc>
          <w:tcPr>
            <w:tcW w:w="8635" w:type="dxa"/>
          </w:tcPr>
          <w:p w:rsidR="004F1542" w:rsidRPr="00A63EA8" w:rsidRDefault="004F1542" w:rsidP="004F1542">
            <w:pPr>
              <w:jc w:val="both"/>
              <w:rPr>
                <w:rFonts w:ascii="Times New Roman" w:hAnsi="Times New Roman" w:cs="Times New Roman"/>
              </w:rPr>
            </w:pP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Cancer---Currently regulated by OSHA as carcinogen</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HE2</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Chronic (Cumulative) Toxicity---Known or Suspected animal or human carcinogen, mutagen (except Code HE1 chemicals)</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p>
        </w:tc>
        <w:tc>
          <w:tcPr>
            <w:tcW w:w="8635" w:type="dxa"/>
          </w:tcPr>
          <w:p w:rsidR="004F1542" w:rsidRPr="00A63EA8" w:rsidRDefault="004F1542" w:rsidP="004F1542">
            <w:pPr>
              <w:jc w:val="both"/>
              <w:rPr>
                <w:rFonts w:ascii="Times New Roman" w:hAnsi="Times New Roman" w:cs="Times New Roman"/>
              </w:rPr>
            </w:pP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HE3</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Chronic (Cumulative) Toxicity---Long-term organ toxicity other than nervous, respiratory, hematologic or reproductive</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HE4</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Acute Toxicity---Short-term high risk effects</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HE5</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Reproductive Hazards---</w:t>
            </w:r>
            <w:proofErr w:type="spellStart"/>
            <w:r w:rsidRPr="00A63EA8">
              <w:rPr>
                <w:rFonts w:ascii="Times New Roman" w:hAnsi="Times New Roman" w:cs="Times New Roman"/>
                <w:color w:val="000000"/>
              </w:rPr>
              <w:t>Teratogenesis</w:t>
            </w:r>
            <w:proofErr w:type="spellEnd"/>
            <w:r w:rsidRPr="00A63EA8">
              <w:rPr>
                <w:rFonts w:ascii="Times New Roman" w:hAnsi="Times New Roman" w:cs="Times New Roman"/>
                <w:color w:val="000000"/>
              </w:rPr>
              <w:t xml:space="preserve"> or other reproductive impairment</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p>
        </w:tc>
        <w:tc>
          <w:tcPr>
            <w:tcW w:w="8635" w:type="dxa"/>
          </w:tcPr>
          <w:p w:rsidR="004F1542" w:rsidRPr="00A63EA8" w:rsidRDefault="004F1542" w:rsidP="004F1542">
            <w:pPr>
              <w:jc w:val="both"/>
              <w:rPr>
                <w:rFonts w:ascii="Times New Roman" w:hAnsi="Times New Roman" w:cs="Times New Roman"/>
              </w:rPr>
            </w:pP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HE6</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Nervous System Disturbances---Cholinesterase inhibition</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HE7</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Nervous System Disturbances---Nervous system effects other than narcosis</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HE8</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Nervous System Disturbances---Narcosis</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p>
        </w:tc>
        <w:tc>
          <w:tcPr>
            <w:tcW w:w="8635" w:type="dxa"/>
          </w:tcPr>
          <w:p w:rsidR="004F1542" w:rsidRPr="00A63EA8" w:rsidRDefault="004F1542" w:rsidP="004F1542">
            <w:pPr>
              <w:jc w:val="both"/>
              <w:rPr>
                <w:rFonts w:ascii="Times New Roman" w:hAnsi="Times New Roman" w:cs="Times New Roman"/>
              </w:rPr>
            </w:pP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HE9</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Respiratory Effects Other Than Irritation---Respiratory sensitization (asthma or other)</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HE10</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Respiratory Effects Other Than Irritation---Cumulative lung damage</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HE11</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Respiratory Effects---Acute lung damage/edema or other</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p>
        </w:tc>
        <w:tc>
          <w:tcPr>
            <w:tcW w:w="8635" w:type="dxa"/>
          </w:tcPr>
          <w:p w:rsidR="004F1542" w:rsidRPr="00A63EA8" w:rsidRDefault="004F1542" w:rsidP="004F1542">
            <w:pPr>
              <w:jc w:val="both"/>
              <w:rPr>
                <w:rFonts w:ascii="Times New Roman" w:hAnsi="Times New Roman" w:cs="Times New Roman"/>
              </w:rPr>
            </w:pP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HE12</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Hematologic (Blood) Disturbances---Anemias</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HE13</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Hematologic (Blood) Disturbances---</w:t>
            </w:r>
            <w:proofErr w:type="spellStart"/>
            <w:r w:rsidRPr="00A63EA8">
              <w:rPr>
                <w:rFonts w:ascii="Times New Roman" w:hAnsi="Times New Roman" w:cs="Times New Roman"/>
                <w:color w:val="000000"/>
              </w:rPr>
              <w:t>Methemoglobinemia</w:t>
            </w:r>
            <w:proofErr w:type="spellEnd"/>
          </w:p>
        </w:tc>
      </w:tr>
      <w:tr w:rsidR="004F1542" w:rsidRPr="004F1542" w:rsidTr="004F1542">
        <w:tc>
          <w:tcPr>
            <w:tcW w:w="715" w:type="dxa"/>
          </w:tcPr>
          <w:p w:rsidR="004F1542" w:rsidRPr="00A63EA8" w:rsidRDefault="004F1542" w:rsidP="004F1542">
            <w:pPr>
              <w:jc w:val="center"/>
              <w:rPr>
                <w:rFonts w:ascii="Times New Roman" w:hAnsi="Times New Roman" w:cs="Times New Roman"/>
              </w:rPr>
            </w:pPr>
          </w:p>
        </w:tc>
        <w:tc>
          <w:tcPr>
            <w:tcW w:w="8635" w:type="dxa"/>
          </w:tcPr>
          <w:p w:rsidR="004F1542" w:rsidRPr="00A63EA8" w:rsidRDefault="004F1542" w:rsidP="004F1542">
            <w:pPr>
              <w:jc w:val="both"/>
              <w:rPr>
                <w:rFonts w:ascii="Times New Roman" w:hAnsi="Times New Roman" w:cs="Times New Roman"/>
              </w:rPr>
            </w:pP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HE14</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Irritation-Eyes, Nose, Throat, Skin---Marked</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HE15</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Irritation-Eyes, Nose, Throat, Skin---Moderate</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HE16</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Irritation-Eyes, Nose, Throat, Skin---Mild</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p>
        </w:tc>
        <w:tc>
          <w:tcPr>
            <w:tcW w:w="8635" w:type="dxa"/>
          </w:tcPr>
          <w:p w:rsidR="004F1542" w:rsidRPr="00A63EA8" w:rsidRDefault="004F1542" w:rsidP="004F1542">
            <w:pPr>
              <w:jc w:val="both"/>
              <w:rPr>
                <w:rFonts w:ascii="Times New Roman" w:hAnsi="Times New Roman" w:cs="Times New Roman"/>
              </w:rPr>
            </w:pP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HE17</w:t>
            </w:r>
          </w:p>
        </w:tc>
        <w:tc>
          <w:tcPr>
            <w:tcW w:w="8635" w:type="dxa"/>
          </w:tcPr>
          <w:p w:rsidR="004F1542" w:rsidRPr="00A63EA8" w:rsidRDefault="004F1542" w:rsidP="004F1542">
            <w:pPr>
              <w:jc w:val="both"/>
              <w:rPr>
                <w:rFonts w:ascii="Times New Roman" w:hAnsi="Times New Roman" w:cs="Times New Roman"/>
              </w:rPr>
            </w:pPr>
            <w:proofErr w:type="spellStart"/>
            <w:r w:rsidRPr="00A63EA8">
              <w:rPr>
                <w:rFonts w:ascii="Times New Roman" w:hAnsi="Times New Roman" w:cs="Times New Roman"/>
                <w:color w:val="000000"/>
              </w:rPr>
              <w:t>Asphyxiants</w:t>
            </w:r>
            <w:proofErr w:type="spellEnd"/>
            <w:r w:rsidRPr="00A63EA8">
              <w:rPr>
                <w:rFonts w:ascii="Times New Roman" w:hAnsi="Times New Roman" w:cs="Times New Roman"/>
                <w:color w:val="000000"/>
              </w:rPr>
              <w:t xml:space="preserve">, </w:t>
            </w:r>
            <w:proofErr w:type="spellStart"/>
            <w:r w:rsidRPr="00A63EA8">
              <w:rPr>
                <w:rFonts w:ascii="Times New Roman" w:hAnsi="Times New Roman" w:cs="Times New Roman"/>
                <w:color w:val="000000"/>
              </w:rPr>
              <w:t>Anoxiants</w:t>
            </w:r>
            <w:proofErr w:type="spellEnd"/>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HE18</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Explosive, Flammable, Safety (No adverse effects encountered when good housekeeping practices are followed)</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HE19</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Generally Low Risk Health Effects---Nuisance particulates, vapors or gases</w:t>
            </w:r>
          </w:p>
        </w:tc>
      </w:tr>
      <w:tr w:rsidR="004F1542" w:rsidRPr="004F1542" w:rsidTr="004F1542">
        <w:tc>
          <w:tcPr>
            <w:tcW w:w="715" w:type="dxa"/>
          </w:tcPr>
          <w:p w:rsidR="004F1542" w:rsidRPr="00A63EA8" w:rsidRDefault="004F1542" w:rsidP="004F1542">
            <w:pPr>
              <w:jc w:val="center"/>
              <w:rPr>
                <w:rFonts w:ascii="Times New Roman" w:hAnsi="Times New Roman" w:cs="Times New Roman"/>
              </w:rPr>
            </w:pPr>
            <w:r w:rsidRPr="00A63EA8">
              <w:rPr>
                <w:rFonts w:ascii="Times New Roman" w:hAnsi="Times New Roman" w:cs="Times New Roman"/>
              </w:rPr>
              <w:t>HE20</w:t>
            </w:r>
          </w:p>
        </w:tc>
        <w:tc>
          <w:tcPr>
            <w:tcW w:w="8635" w:type="dxa"/>
          </w:tcPr>
          <w:p w:rsidR="004F1542" w:rsidRPr="00A63EA8" w:rsidRDefault="004F1542" w:rsidP="004F1542">
            <w:pPr>
              <w:jc w:val="both"/>
              <w:rPr>
                <w:rFonts w:ascii="Times New Roman" w:hAnsi="Times New Roman" w:cs="Times New Roman"/>
              </w:rPr>
            </w:pPr>
            <w:r w:rsidRPr="00A63EA8">
              <w:rPr>
                <w:rFonts w:ascii="Times New Roman" w:hAnsi="Times New Roman" w:cs="Times New Roman"/>
                <w:color w:val="000000"/>
              </w:rPr>
              <w:t>Generally Low Risk Health Effects---Odor</w:t>
            </w:r>
          </w:p>
        </w:tc>
      </w:tr>
    </w:tbl>
    <w:p w:rsidR="004F1542" w:rsidRPr="004F1542" w:rsidRDefault="004F1542">
      <w:pPr>
        <w:rPr>
          <w:rFonts w:ascii="Times New Roman" w:hAnsi="Times New Roman" w:cs="Times New Roman"/>
        </w:rPr>
      </w:pPr>
    </w:p>
    <w:p w:rsidR="004F1542" w:rsidRPr="00A63EA8" w:rsidRDefault="004F1542">
      <w:pPr>
        <w:rPr>
          <w:rFonts w:ascii="Times New Roman" w:hAnsi="Times New Roman" w:cs="Times New Roman"/>
          <w:color w:val="000000"/>
          <w:sz w:val="20"/>
          <w:szCs w:val="20"/>
        </w:rPr>
      </w:pPr>
      <w:r w:rsidRPr="00A63EA8">
        <w:rPr>
          <w:rFonts w:ascii="Times New Roman" w:hAnsi="Times New Roman" w:cs="Times New Roman"/>
          <w:b/>
          <w:bCs/>
          <w:color w:val="000000"/>
          <w:sz w:val="20"/>
          <w:szCs w:val="20"/>
        </w:rPr>
        <w:t>Organ</w:t>
      </w:r>
      <w:r w:rsidR="00A63EA8">
        <w:rPr>
          <w:rFonts w:ascii="Times New Roman" w:hAnsi="Times New Roman" w:cs="Times New Roman"/>
          <w:b/>
          <w:bCs/>
          <w:color w:val="000000"/>
          <w:sz w:val="20"/>
          <w:szCs w:val="20"/>
        </w:rPr>
        <w:t>:</w:t>
      </w:r>
      <w:r w:rsidRPr="00A63EA8">
        <w:rPr>
          <w:rFonts w:ascii="Times New Roman" w:hAnsi="Times New Roman" w:cs="Times New Roman"/>
          <w:color w:val="000000"/>
          <w:sz w:val="20"/>
          <w:szCs w:val="20"/>
        </w:rPr>
        <w:t xml:space="preserve"> the organs which are affected by exposure to each substance. As listed in NIOSH Pocket Guide to Chemical Hazards (NIOSH No. 85-114), condensed from the NIOSH/OSHA Occupational Health Guidelines for Chemical Hazards (NIOSH No. 81-123).</w:t>
      </w:r>
    </w:p>
    <w:p w:rsidR="004F1542" w:rsidRPr="00A63EA8" w:rsidRDefault="004F1542">
      <w:pPr>
        <w:rPr>
          <w:rFonts w:ascii="Times New Roman" w:hAnsi="Times New Roman" w:cs="Times New Roman"/>
          <w:color w:val="000000"/>
          <w:sz w:val="20"/>
          <w:szCs w:val="20"/>
        </w:rPr>
      </w:pPr>
      <w:r w:rsidRPr="00A63EA8">
        <w:rPr>
          <w:rFonts w:ascii="Times New Roman" w:hAnsi="Times New Roman" w:cs="Times New Roman"/>
          <w:b/>
          <w:bCs/>
          <w:color w:val="000000"/>
          <w:sz w:val="20"/>
          <w:szCs w:val="20"/>
        </w:rPr>
        <w:t>Health Guideline</w:t>
      </w:r>
      <w:r w:rsidR="00A63EA8">
        <w:rPr>
          <w:rFonts w:ascii="Times New Roman" w:hAnsi="Times New Roman" w:cs="Times New Roman"/>
          <w:b/>
          <w:bCs/>
          <w:color w:val="000000"/>
          <w:sz w:val="20"/>
          <w:szCs w:val="20"/>
        </w:rPr>
        <w:t>:</w:t>
      </w:r>
      <w:r w:rsidRPr="00A63EA8">
        <w:rPr>
          <w:rFonts w:ascii="Times New Roman" w:hAnsi="Times New Roman" w:cs="Times New Roman"/>
          <w:color w:val="000000"/>
          <w:sz w:val="20"/>
          <w:szCs w:val="20"/>
        </w:rPr>
        <w:t xml:space="preserve"> guidelines summarize pertinent information about chemicals for workers and employers as well as for physicians, industrial hygienists, and other occupational safety and health professionals who may need such information to conduct effective occupational safety and health programs. </w:t>
      </w:r>
      <w:r w:rsidRPr="00A63EA8">
        <w:rPr>
          <w:rFonts w:ascii="Times New Roman" w:hAnsi="Times New Roman" w:cs="Times New Roman"/>
          <w:i/>
          <w:iCs/>
          <w:color w:val="000000"/>
          <w:sz w:val="20"/>
          <w:szCs w:val="20"/>
        </w:rPr>
        <w:t>Recommendations may be superseded by new developments; readers are therefore advised to regard these recommendations as general guidelines and to determine periodically whether new information is available.</w:t>
      </w:r>
      <w:bookmarkStart w:id="0" w:name="_GoBack"/>
      <w:bookmarkEnd w:id="0"/>
    </w:p>
    <w:sectPr w:rsidR="004F1542" w:rsidRPr="00A63EA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FFE" w:rsidRDefault="00BB5FFE" w:rsidP="00A63EA8">
      <w:pPr>
        <w:spacing w:after="0" w:line="240" w:lineRule="auto"/>
      </w:pPr>
      <w:r>
        <w:separator/>
      </w:r>
    </w:p>
  </w:endnote>
  <w:endnote w:type="continuationSeparator" w:id="0">
    <w:p w:rsidR="00BB5FFE" w:rsidRDefault="00BB5FFE" w:rsidP="00A6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A8" w:rsidRPr="00A63EA8" w:rsidRDefault="00A63EA8" w:rsidP="00A63EA8">
    <w:pPr>
      <w:rPr>
        <w:b/>
      </w:rPr>
    </w:pPr>
    <w:proofErr w:type="spellStart"/>
    <w:r w:rsidRPr="00A63EA8">
      <w:rPr>
        <w:rFonts w:ascii="Times New Roman" w:hAnsi="Times New Roman" w:cs="Times New Roman"/>
        <w:b/>
      </w:rPr>
      <w:t>Soucre</w:t>
    </w:r>
    <w:proofErr w:type="spellEnd"/>
    <w:r w:rsidRPr="00A63EA8">
      <w:rPr>
        <w:rFonts w:ascii="Times New Roman" w:hAnsi="Times New Roman" w:cs="Times New Roman"/>
        <w:b/>
      </w:rPr>
      <w:t xml:space="preserve">: </w:t>
    </w:r>
    <w:hyperlink r:id="rId1" w:history="1">
      <w:r w:rsidRPr="00A63EA8">
        <w:rPr>
          <w:rStyle w:val="Hyperlink"/>
          <w:rFonts w:ascii="Times New Roman" w:hAnsi="Times New Roman" w:cs="Times New Roman"/>
        </w:rPr>
        <w:t>https://www.osha.gov/dts/chemicalsampling/toc/field.html</w:t>
      </w:r>
    </w:hyperlink>
  </w:p>
  <w:p w:rsidR="00A63EA8" w:rsidRDefault="00A63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FFE" w:rsidRDefault="00BB5FFE" w:rsidP="00A63EA8">
      <w:pPr>
        <w:spacing w:after="0" w:line="240" w:lineRule="auto"/>
      </w:pPr>
      <w:r>
        <w:separator/>
      </w:r>
    </w:p>
  </w:footnote>
  <w:footnote w:type="continuationSeparator" w:id="0">
    <w:p w:rsidR="00BB5FFE" w:rsidRDefault="00BB5FFE" w:rsidP="00A63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42"/>
    <w:rsid w:val="004F1542"/>
    <w:rsid w:val="006D7B31"/>
    <w:rsid w:val="00A63EA8"/>
    <w:rsid w:val="00BB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56870-A8B9-425A-81B1-2C3B69E5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542"/>
    <w:rPr>
      <w:color w:val="0563C1" w:themeColor="hyperlink"/>
      <w:u w:val="single"/>
    </w:rPr>
  </w:style>
  <w:style w:type="paragraph" w:styleId="Header">
    <w:name w:val="header"/>
    <w:basedOn w:val="Normal"/>
    <w:link w:val="HeaderChar"/>
    <w:uiPriority w:val="99"/>
    <w:unhideWhenUsed/>
    <w:rsid w:val="00A63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EA8"/>
  </w:style>
  <w:style w:type="paragraph" w:styleId="Footer">
    <w:name w:val="footer"/>
    <w:basedOn w:val="Normal"/>
    <w:link w:val="FooterChar"/>
    <w:uiPriority w:val="99"/>
    <w:unhideWhenUsed/>
    <w:rsid w:val="00A6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86195">
      <w:bodyDiv w:val="1"/>
      <w:marLeft w:val="0"/>
      <w:marRight w:val="0"/>
      <w:marTop w:val="0"/>
      <w:marBottom w:val="0"/>
      <w:divBdr>
        <w:top w:val="none" w:sz="0" w:space="0" w:color="auto"/>
        <w:left w:val="none" w:sz="0" w:space="0" w:color="auto"/>
        <w:bottom w:val="none" w:sz="0" w:space="0" w:color="auto"/>
        <w:right w:val="none" w:sz="0" w:space="0" w:color="auto"/>
      </w:divBdr>
      <w:divsChild>
        <w:div w:id="1842624110">
          <w:marLeft w:val="0"/>
          <w:marRight w:val="0"/>
          <w:marTop w:val="0"/>
          <w:marBottom w:val="0"/>
          <w:divBdr>
            <w:top w:val="single" w:sz="2" w:space="0" w:color="333333"/>
            <w:left w:val="single" w:sz="6" w:space="0" w:color="333333"/>
            <w:bottom w:val="single" w:sz="2" w:space="0" w:color="333333"/>
            <w:right w:val="single" w:sz="6" w:space="0" w:color="333333"/>
          </w:divBdr>
          <w:divsChild>
            <w:div w:id="62990231">
              <w:marLeft w:val="0"/>
              <w:marRight w:val="0"/>
              <w:marTop w:val="0"/>
              <w:marBottom w:val="0"/>
              <w:divBdr>
                <w:top w:val="none" w:sz="0" w:space="0" w:color="auto"/>
                <w:left w:val="none" w:sz="0" w:space="0" w:color="auto"/>
                <w:bottom w:val="none" w:sz="0" w:space="0" w:color="auto"/>
                <w:right w:val="none" w:sz="0" w:space="0" w:color="auto"/>
              </w:divBdr>
              <w:divsChild>
                <w:div w:id="1452624591">
                  <w:marLeft w:val="0"/>
                  <w:marRight w:val="0"/>
                  <w:marTop w:val="0"/>
                  <w:marBottom w:val="150"/>
                  <w:divBdr>
                    <w:top w:val="none" w:sz="0" w:space="0" w:color="auto"/>
                    <w:left w:val="none" w:sz="0" w:space="0" w:color="auto"/>
                    <w:bottom w:val="none" w:sz="0" w:space="0" w:color="auto"/>
                    <w:right w:val="none" w:sz="0" w:space="0" w:color="auto"/>
                  </w:divBdr>
                  <w:divsChild>
                    <w:div w:id="639308880">
                      <w:marLeft w:val="0"/>
                      <w:marRight w:val="0"/>
                      <w:marTop w:val="0"/>
                      <w:marBottom w:val="0"/>
                      <w:divBdr>
                        <w:top w:val="none" w:sz="0" w:space="0" w:color="auto"/>
                        <w:left w:val="none" w:sz="0" w:space="0" w:color="auto"/>
                        <w:bottom w:val="none" w:sz="0" w:space="0" w:color="auto"/>
                        <w:right w:val="none" w:sz="0" w:space="0" w:color="auto"/>
                      </w:divBdr>
                      <w:divsChild>
                        <w:div w:id="15256362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0153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osha.gov/dts/chemicalsampling/toc/fie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Jaskolka, John</cp:lastModifiedBy>
  <cp:revision>1</cp:revision>
  <dcterms:created xsi:type="dcterms:W3CDTF">2016-01-07T20:36:00Z</dcterms:created>
  <dcterms:modified xsi:type="dcterms:W3CDTF">2016-01-07T20:50:00Z</dcterms:modified>
</cp:coreProperties>
</file>